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36bb8cb1284cd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44127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JAVNA USTANOVA - ZAVOD ZA PROSTORNO UREĐENJE ŠIBENSKO-KNINSKE ŽUPANIJE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179.351,72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367.388,43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175.482,51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327.582,83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3.869,21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39.805,60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1028,8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8.946,50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68.756,31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8.946,50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68.756,31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768,5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5.077,29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28.950,71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570,2</w:t>
            </w:r>
          </w:p>
        </w:tc>
      </w:tr>
    </w:tbl>
    <w:p>
      <w:pPr>
        <w:spacing w:before="0" w:after="0"/>
      </w:pPr>
    </w:p>
    <w:p>
      <w:r>
        <w:t xml:space="preserve">Na poziciji  y005 manjak prihoda i primitaka evidentiran je iznos od 28.950,71eur, odnosi se na manjak prihoda poslovanja za rashode koji su nedospjeli, te prikazani u obvezama.  Stanje obveza na kraju izvještajnog razdoblja iznosi 30.787,056eur-a, od čega je 36,07eur evidentirano na kontu 1291 Potraživanja za naknade koje se refundiraju i predujmove, a iznos od 595,36eur-a je evidentiran u rezultatu poslovanja 2024.godine kao iznos manjka.</w:t>
      </w:r>
    </w:p>
    <w:p>
      <w:r>
        <w:t xml:space="preserve">Višak primihoda i primitaka raspoloživ u slijedećem razdoblju na poziciji X006 iznosi 78.00,49 eur. U ukupnom rezultatu sadržan je višak iznosa sredstava pomoći uplaćenih u proračun iznosi 108.752,47eur, te manjak prihoda poslovanja za rashode koji su nedospjeli i prikazani u obvzama.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2.311,30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65.632,00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2839,6</w:t>
            </w:r>
          </w:p>
        </w:tc>
      </w:tr>
    </w:tbl>
    <w:p>
      <w:pPr>
        <w:spacing w:before="0" w:after="0"/>
      </w:pPr>
    </w:p>
    <w:p>
      <w:r>
        <w:t xml:space="preserve">Djeljeni novi sporazumi Ministarstva prostornoga uređenja, graditeljstva i državne imovine suklano ugovorima, a uplaćeni u nadležni proračun.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177.040,42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301.756,43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170,4</w:t>
            </w:r>
          </w:p>
        </w:tc>
      </w:tr>
    </w:tbl>
    <w:p>
      <w:pPr>
        <w:spacing w:before="0" w:after="0"/>
      </w:pPr>
    </w:p>
    <w:p>
      <w:r>
        <w:t xml:space="preserve">Uvećani prihodi poslovanja obzirom na povećane rashode poslovanja u odnosu na promatrano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175.227,92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294.641,80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168,1</w:t>
            </w:r>
          </w:p>
        </w:tc>
      </w:tr>
    </w:tbl>
    <w:p>
      <w:pPr>
        <w:spacing w:before="0" w:after="0"/>
      </w:pPr>
    </w:p>
    <w:p>
      <w:r>
        <w:t xml:space="preserve">Uvećani prihodi poslovanja obzirom na povećane rashode poslovanja u odnosu na promatrano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1.812,50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7.114,63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392,5</w:t>
            </w:r>
          </w:p>
        </w:tc>
      </w:tr>
    </w:tbl>
    <w:p>
      <w:pPr>
        <w:spacing w:before="0" w:after="0"/>
      </w:pPr>
    </w:p>
    <w:p>
      <w:r>
        <w:t xml:space="preserve">Uvećani prihodi poslovanja obzirom na povećane rashode poslovanja u odnosu na promatrano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112.432,72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215.078,60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191,3</w:t>
            </w:r>
          </w:p>
        </w:tc>
      </w:tr>
    </w:tbl>
    <w:p>
      <w:pPr>
        <w:spacing w:before="0" w:after="0"/>
      </w:pPr>
    </w:p>
    <w:p>
      <w:r>
        <w:t xml:space="preserve">Povećanje se odnosi na uvećanje koeficijenta djleatnika, te je ujedno u 2025. u odnosu na 2024.evidntiran rashod za 13 plaća, a ne 6 kako je bilo u 2024.godini(ukinuto vremensko razgraničenje), tjekom 2025.godine došlo je do povećanja broja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6.520,86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16.592,77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254,5</w:t>
            </w:r>
          </w:p>
        </w:tc>
      </w:tr>
    </w:tbl>
    <w:p>
      <w:pPr>
        <w:spacing w:before="0" w:after="0"/>
      </w:pPr>
    </w:p>
    <w:p>
      <w:r>
        <w:t xml:space="preserve">Tjekom 2025.dvoje djelatnika je steklo uvjete za mirovinu, te je za djelatnike obračnuta otpremnina.</w:t>
      </w:r>
    </w:p>
    <w:p>
      <w:r>
        <w:t xml:space="preserve">Povećanje rashoda se također odnosi na isplatu prehrane djelatnicima, te isplatu otpremnine i jubilarne nagrade, dok 2024.u promatranom razdoblju nije bilo evidentiranih otpremnina i jubilarnih nagrada.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1.884,52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5.986,64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317,7</w:t>
            </w:r>
          </w:p>
        </w:tc>
      </w:tr>
    </w:tbl>
    <w:p>
      <w:pPr>
        <w:spacing w:before="0" w:after="0"/>
      </w:pPr>
    </w:p>
    <w:p>
      <w:r>
        <w:t xml:space="preserve">Povećanje službenih putovanja se odnosi na uvećanje radnih aktivnosti vezanih uz djelatnost zavoda uslijed promjene na pozicijama, te zapošljavanja novih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388,5</w:t>
            </w:r>
          </w:p>
        </w:tc>
      </w:tr>
    </w:tbl>
    <w:p>
      <w:pPr>
        <w:spacing w:before="0" w:after="0"/>
      </w:pPr>
    </w:p>
    <w:p>
      <w:r>
        <w:t xml:space="preserve">Povećanje u odnosu na promatrani period obzirom da novi djelatnici imaju različita prava na prijevoz u odnosu na promatrani period 2024.godine.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2.179,65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3.802,63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174,5</w:t>
            </w:r>
          </w:p>
        </w:tc>
      </w:tr>
    </w:tbl>
    <w:p>
      <w:pPr>
        <w:spacing w:before="0" w:after="0"/>
      </w:pPr>
    </w:p>
    <w:p>
      <w:r>
        <w:t xml:space="preserve">Povećanje sukladno promjenama u aktovnosti zavoda, te povećanog broja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1.170,19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2.090,90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178,7</w:t>
            </w:r>
          </w:p>
        </w:tc>
      </w:tr>
    </w:tbl>
    <w:p>
      <w:pPr>
        <w:spacing w:before="0" w:after="0"/>
      </w:pPr>
    </w:p>
    <w:p>
      <w:r>
        <w:t xml:space="preserve">Povećanje se odnosi na tekuće održavanje prijevoznih sredstava(automobil), kojeg u prethodnoj godini nije bilo u promatranom razdoblju.</w:t>
      </w:r>
    </w:p>
    <w:p>
      <w:r>
        <w:t xml:space="preserve">Automobil na kojeg se odnosi tekuće održavanje je prodan koncem 2025.godine, a u imovini se nalazio od 2010.godine.</w:t>
      </w:r>
    </w:p>
    <w:p>
      <w:r>
        <w:t xml:space="preserve">Srdastva prodaje automobila su evidentirana, te su prihod nadležnog proračuna.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3.738,50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283,2</w:t>
            </w:r>
          </w:p>
        </w:tc>
      </w:tr>
    </w:tbl>
    <w:p>
      <w:pPr>
        <w:spacing w:before="0" w:after="0"/>
      </w:pPr>
    </w:p>
    <w:p>
      <w:r>
        <w:t xml:space="preserve">Uvežanje obzirom na oglašavanje za nova radna mjesta tjekom 2025 (zaposleno troje novih djelatnika).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3.855,31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Konto 3235 odnosi se na operativni leasing vozila koji je sklopljen tjekom 2025.godine.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4.533,58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6.289,99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138,7</w:t>
            </w:r>
          </w:p>
        </w:tc>
      </w:tr>
    </w:tbl>
    <w:p>
      <w:pPr>
        <w:spacing w:before="0" w:after="0"/>
      </w:pPr>
    </w:p>
    <w:p>
      <w:r>
        <w:t xml:space="preserve">Povećanje se odnosi na ukinuto vremensko razgraničenje uslijed čega je došlo do priznavanja 13.rashoda.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2.907,46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5.682,17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195,4</w:t>
            </w:r>
          </w:p>
        </w:tc>
      </w:tr>
    </w:tbl>
    <w:p>
      <w:pPr>
        <w:spacing w:before="0" w:after="0"/>
      </w:pPr>
    </w:p>
    <w:p>
      <w:r>
        <w:t xml:space="preserve">Povećanje se odnosi na ukinuto vremensko razgraničenje uslijed čega je došlo do priznavanja 13.rashoda, te uslugu psihološkog testiranja kandidata, te na povećanu cijenu usluga pranja i čišćenja u odnosu na promatrano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2.718,26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174,9</w:t>
            </w:r>
          </w:p>
        </w:tc>
      </w:tr>
    </w:tbl>
    <w:p>
      <w:pPr>
        <w:spacing w:before="0" w:after="0"/>
      </w:pPr>
    </w:p>
    <w:p>
      <w:r>
        <w:t xml:space="preserve">Povećanje se odnosi na promjene u isplatama upravnog vijeća u odnosu na promatran period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492,33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1.479,46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300,5</w:t>
            </w:r>
          </w:p>
        </w:tc>
      </w:tr>
    </w:tbl>
    <w:p>
      <w:pPr>
        <w:spacing w:before="0" w:after="0"/>
      </w:pPr>
    </w:p>
    <w:p>
      <w:r>
        <w:br/>
      </w:r>
      <w:r>
        <w:t xml:space="preserve">Povećan rashod u odnosu na promatrano razdoblje prethodne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Članarine i norme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125,0</w:t>
            </w:r>
          </w:p>
        </w:tc>
      </w:tr>
    </w:tbl>
    <w:p>
      <w:pPr>
        <w:spacing w:before="0" w:after="0"/>
      </w:pPr>
    </w:p>
    <w:p>
      <w:r>
        <w:t xml:space="preserve">Uvećana vrijednost članarine HKA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imovina (šifre 4121 do 4126)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1.812,50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21.381,25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1179,7</w:t>
            </w:r>
          </w:p>
        </w:tc>
      </w:tr>
    </w:tbl>
    <w:p>
      <w:pPr>
        <w:spacing w:before="0" w:after="0"/>
      </w:pPr>
    </w:p>
    <w:p>
      <w:r>
        <w:t xml:space="preserve">Tjekom 2025.godine nabavljene su nove licence za potrebe poslovanja zavoda, te je primljen račun za iradu vizualnog identiteta (znak i logotip) zavoda.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11.213,81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Povećanje se odnosi na nabavku nove računalne opreme (uslijde povećanja broja zaposlenih, te starosti imovine).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2.198,75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Nabaljen novi klima uređaj.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Umjetnička, literarna i znanstvena djela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7.134,00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33.962,50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476,1</w:t>
            </w:r>
          </w:p>
        </w:tc>
      </w:tr>
    </w:tbl>
    <w:p>
      <w:pPr>
        <w:spacing w:before="0" w:after="0"/>
      </w:pPr>
    </w:p>
    <w:p>
      <w:r>
        <w:t xml:space="preserve">Pozicija se odnosi na dokumente prostornog uređenja.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priljevi na novčane račune i blagajne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51.457,06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sredstva uplaćena na podračun, te prenesena u nadležni proračun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nematerijalna proizvedena imovina u pripremi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41.563,55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83.213,55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200,2</w:t>
            </w:r>
          </w:p>
        </w:tc>
      </w:tr>
    </w:tbl>
    <w:p>
      <w:pPr>
        <w:spacing w:before="0" w:after="0"/>
      </w:pPr>
    </w:p>
    <w:p>
      <w:r>
        <w:t xml:space="preserve">Konto 055 se odnosi na dokumentaciju, odnosno prostorne planove  koji se sukladno računskom planu evidentiraju u imovinu, a odnose se na dokumentaciju koja se nalazi u pripremi.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357.571,41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357.571,41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Na poziciji 991 i 996 izvanbilančni zapisi evidentiran je iznos od 357.571,41eur što se odnosi na imovinu dobivenu na korištenje (topografske karte) od Državne geodetske uprave.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pasiva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357.571,41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357.571,41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Na poziciji 991 i 996 izvanbilančni zapisi evidentiran je iznos od 357.571,41eur što se odnosi na imovinu dobivenu na korištenje (topografske karte) od Državne geodetske uprave.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11.746,87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izvještaju P-VRIO prikazan je iznos koji se odnosi na ispravak vrijednosti dugotrajne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4.237,79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izvještaju P-VRIO prikazan je iznos koji se odnosi na ispravak vrijednosti dugotrajne imovine.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neplaćenih obveza odnosi se na nepodmirene rashode koji su greškom ostali neplaćeni u prethodnim razdobljima (evidentirani u rashodima poslovanja prethodnih razdoblja), a čija se usklada i podmirenje očekuje tjekom veljače 2026.godine.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1a99d987c14d34" /></Relationships>
</file>